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BAC" w:rsidRDefault="00933BAC" w:rsidP="00933B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MATERI KE 1 HPU TAHUN 2026 FH UMA</w:t>
      </w:r>
    </w:p>
    <w:p w:rsidR="00933BAC" w:rsidRDefault="00933BAC" w:rsidP="00933B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GAMBARAN HUKUM PERSAINGAN USAHA DALAM UU NOMOR 5 TAHUN 1999</w:t>
      </w:r>
    </w:p>
    <w:p w:rsidR="00933BAC" w:rsidRDefault="00933BAC" w:rsidP="00933B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33BAC" w:rsidRPr="00933BAC" w:rsidRDefault="00933BAC" w:rsidP="00933B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33BAC">
        <w:rPr>
          <w:rFonts w:ascii="Times New Roman" w:eastAsia="Times New Roman" w:hAnsi="Times New Roman" w:cs="Times New Roman"/>
          <w:b/>
          <w:bCs/>
          <w:sz w:val="27"/>
          <w:szCs w:val="27"/>
        </w:rPr>
        <w:t>1. Tabel Sistematika UU No. 5 Tahun 1999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2144"/>
        <w:gridCol w:w="741"/>
        <w:gridCol w:w="5683"/>
      </w:tblGrid>
      <w:tr w:rsidR="00933BAC" w:rsidRPr="00933BAC" w:rsidTr="00933BA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Bagian/Materi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Pasal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Pokok Pengaturan</w:t>
            </w:r>
          </w:p>
        </w:tc>
      </w:tr>
      <w:tr w:rsidR="00933BAC" w:rsidRPr="00933BAC" w:rsidTr="00933B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Ketentuan Umum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Pasal 1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Definisi monopoli, praktik monopoli, persaingan usaha tidak sehat, pelaku usaha, posisi dominan, KPPU, dan istilah lainnya</w:t>
            </w:r>
          </w:p>
        </w:tc>
      </w:tr>
      <w:tr w:rsidR="00933BAC" w:rsidRPr="00933BAC" w:rsidTr="00933B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Asas dan Tujuan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Pasal 2–3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Asas demokrasi ekonomi serta tujuan menciptakan persaingan sehat, efisiensi, kepentingan umum dan kesejahteraan rakyat</w:t>
            </w:r>
          </w:p>
        </w:tc>
      </w:tr>
      <w:tr w:rsidR="00933BAC" w:rsidRPr="00933BAC" w:rsidTr="00933B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Perjanjian yang Dilarang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Pasal 4–16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Berbagai bentuk perjanjian yang dapat mengakibatkan praktik monopoli atau persaingan usaha tidak sehat</w:t>
            </w:r>
          </w:p>
        </w:tc>
      </w:tr>
      <w:tr w:rsidR="00933BAC" w:rsidRPr="00933BAC" w:rsidTr="00933B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Kegiatan yang Dilarang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Pasal 17–24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Monopoli, monopsoni, penguasaan pasar, persekongkolan, dan kegiatan lain yang dilarang</w:t>
            </w:r>
          </w:p>
        </w:tc>
      </w:tr>
      <w:tr w:rsidR="00933BAC" w:rsidRPr="00933BAC" w:rsidTr="00933B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Posisi Dominan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Pasal 25–29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Larangan penyalahgunaan posisi dominan, jabatan rangkap, kepemilikan saham, dan penggabungan/peleburan/pengambilalihan</w:t>
            </w:r>
          </w:p>
        </w:tc>
      </w:tr>
      <w:tr w:rsidR="00933BAC" w:rsidRPr="00933BAC" w:rsidTr="00933B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Komisi Pengawas Persaingan Usaha (KPPU)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Pasal 30–37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Pembentukan, kedudukan, tugas, wewenang, keanggotaan dan pembiayaan KPPU</w:t>
            </w:r>
          </w:p>
        </w:tc>
      </w:tr>
      <w:tr w:rsidR="00933BAC" w:rsidRPr="00933BAC" w:rsidTr="00933B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Tata Cara Penanganan Perkara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Pasal 38–46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Laporan, pemeriksaan, penyelidikan, putusan KPPU dan pelaksanaan putusan</w:t>
            </w:r>
          </w:p>
        </w:tc>
      </w:tr>
      <w:tr w:rsidR="00933BAC" w:rsidRPr="00933BAC" w:rsidTr="00933B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Sanksi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Pasal 47–49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Tindakan administratif dan ketentuan pidana</w:t>
            </w:r>
          </w:p>
        </w:tc>
      </w:tr>
      <w:tr w:rsidR="00933BAC" w:rsidRPr="00933BAC" w:rsidTr="00933B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Ketentuan Lain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Pasal 50–51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Pengecualian terhadap ketentuan UU dan monopoli/pemusatan kegiatan yang menyangkut hajat hidup orang banyak</w:t>
            </w:r>
          </w:p>
        </w:tc>
      </w:tr>
      <w:tr w:rsidR="00933BAC" w:rsidRPr="00933BAC" w:rsidTr="00933B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Ketentuan Peralihan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Pasal 52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Penyesuaian terhadap perjanjian/kegiatan yang telah ada</w:t>
            </w:r>
          </w:p>
        </w:tc>
      </w:tr>
      <w:tr w:rsidR="00933BAC" w:rsidRPr="00933BAC" w:rsidTr="00933B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Ketentuan Penutup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Pasal 53</w:t>
            </w:r>
          </w:p>
        </w:tc>
        <w:tc>
          <w:tcPr>
            <w:tcW w:w="0" w:type="auto"/>
            <w:vAlign w:val="center"/>
            <w:hideMark/>
          </w:tcPr>
          <w:p w:rsidR="00933BAC" w:rsidRPr="00933BAC" w:rsidRDefault="00933BAC" w:rsidP="0093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BAC">
              <w:rPr>
                <w:rFonts w:ascii="Times New Roman" w:eastAsia="Times New Roman" w:hAnsi="Times New Roman" w:cs="Times New Roman"/>
                <w:sz w:val="24"/>
                <w:szCs w:val="24"/>
              </w:rPr>
              <w:t>Ketentuan mulai berlakunya UU</w:t>
            </w:r>
          </w:p>
        </w:tc>
      </w:tr>
    </w:tbl>
    <w:p w:rsidR="00933BAC" w:rsidRDefault="00933BAC" w:rsidP="00933B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33BAC" w:rsidRDefault="00933BAC" w:rsidP="00933B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33BAC" w:rsidRDefault="00933BAC" w:rsidP="00933B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33BAC" w:rsidRPr="00933BAC" w:rsidRDefault="00933BAC" w:rsidP="00933B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33BAC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2. Skema Besar UU No. 5 Tahun 1999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      UU NO. 5 TAHUN 1999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       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              ▼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LARANGAN PRAKTIK MONOPOLI &amp; 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PERSAINGAN USAHA TIDAK SEHAT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       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┌─────────────┼─────────────┐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▼             ▼             ▼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ASAS &amp; TUJUAN   LARANGAN       KELEMBAGAAN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      │      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┌─────┴─────┐       ▼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│           │      KPPU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▼           ▼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PERJANJIAN    KEGIATAN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DILARANG       DILARANG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│           │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└─────┬─────┘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      ▼      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POSISI DOMINAN ◄─────┘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      ▼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PENANGANAN PERKARA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┌─────┴─────┐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▼           ▼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PEMERIKSAAN   PUTUSAN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       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              ▼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           SANKSI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       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   ┌──────────┴──────────┐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      ▼                     ▼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    ADMINISTRATIF          PIDANA*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▼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PERSAINGAN SEHAT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│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      ▼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EFISIENSI + KEADILAN +</w:t>
      </w:r>
    </w:p>
    <w:p w:rsidR="00933BAC" w:rsidRPr="00933BAC" w:rsidRDefault="00933BAC" w:rsidP="00933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33BAC">
        <w:rPr>
          <w:rFonts w:ascii="Courier New" w:eastAsia="Times New Roman" w:hAnsi="Courier New" w:cs="Courier New"/>
          <w:sz w:val="20"/>
          <w:szCs w:val="20"/>
        </w:rPr>
        <w:t xml:space="preserve"> KESEJAHTERAAN MASYARAKAT</w:t>
      </w:r>
    </w:p>
    <w:p w:rsidR="00C372A1" w:rsidRDefault="00C372A1"/>
    <w:p w:rsidR="00933BAC" w:rsidRDefault="00933BAC"/>
    <w:p w:rsidR="00933BAC" w:rsidRDefault="00933BAC"/>
    <w:p w:rsidR="00933BAC" w:rsidRDefault="00933BAC"/>
    <w:p w:rsidR="00933BAC" w:rsidRDefault="00933BAC"/>
    <w:p w:rsidR="00933BAC" w:rsidRDefault="00933BAC"/>
    <w:p w:rsidR="00933BAC" w:rsidRDefault="00933BAC"/>
    <w:p w:rsidR="00933BAC" w:rsidRDefault="00933BAC"/>
    <w:p w:rsidR="00933BAC" w:rsidRDefault="00933BAC"/>
    <w:p w:rsidR="00933BAC" w:rsidRPr="00933BAC" w:rsidRDefault="00933BAC" w:rsidP="00933BAC">
      <w:pPr>
        <w:pStyle w:val="Heading3"/>
        <w:rPr>
          <w:b/>
          <w:color w:val="002060"/>
        </w:rPr>
      </w:pPr>
      <w:r>
        <w:rPr>
          <w:b/>
          <w:color w:val="002060"/>
        </w:rPr>
        <w:lastRenderedPageBreak/>
        <w:t>3</w:t>
      </w:r>
      <w:r w:rsidRPr="00933BAC">
        <w:rPr>
          <w:b/>
          <w:color w:val="002060"/>
        </w:rPr>
        <w:t xml:space="preserve">. </w:t>
      </w:r>
      <w:r w:rsidRPr="00933BAC">
        <w:rPr>
          <w:b/>
          <w:color w:val="002060"/>
        </w:rPr>
        <w:t>Skema Substansi Larangan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       LARANGAN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          │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┌────────────┼────────────┐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▼            ▼            ▼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PERJANJIAN       KEGIATAN     POSISI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YANG DILARANG    DILARANG     DOMINAN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│            │            │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▼            ▼            ▼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• Oligopoli     • Monopoli    • Penyalahgunaan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• Penetapan     • Monopsoni    posisi dominan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harga         • Penguasaan  • Jabatan rangkap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• Pembagian       pasar       • Kepemilikan saham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wilayah       • Persekong- • Merger/akuisisi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• Kartel          kolan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• Trust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• Integrasi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vertikal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• Perjanjian</w:t>
      </w:r>
    </w:p>
    <w:p w:rsidR="00933BAC" w:rsidRDefault="00933BAC" w:rsidP="00933BAC">
      <w:pPr>
        <w:pStyle w:val="HTMLPreformatted"/>
      </w:pPr>
      <w:bookmarkStart w:id="0" w:name="_GoBack"/>
      <w:bookmarkEnd w:id="0"/>
      <w:r>
        <w:rPr>
          <w:rStyle w:val="HTMLCode"/>
          <w:rFonts w:eastAsiaTheme="majorEastAsia"/>
        </w:rPr>
        <w:t xml:space="preserve">   tertutup</w:t>
      </w:r>
    </w:p>
    <w:p w:rsidR="00933BAC" w:rsidRDefault="00933BAC"/>
    <w:p w:rsidR="00933BAC" w:rsidRDefault="00933BAC"/>
    <w:p w:rsidR="00933BAC" w:rsidRDefault="00933BAC" w:rsidP="00933BAC">
      <w:pPr>
        <w:pStyle w:val="Heading3"/>
        <w:rPr>
          <w:b/>
          <w:color w:val="000000" w:themeColor="text1"/>
        </w:rPr>
      </w:pPr>
      <w:r>
        <w:t xml:space="preserve">4. </w:t>
      </w:r>
      <w:r w:rsidRPr="00933BAC">
        <w:rPr>
          <w:b/>
          <w:color w:val="000000" w:themeColor="text1"/>
        </w:rPr>
        <w:t>Skema Penanganan Perkara oleh KPPU</w:t>
      </w:r>
    </w:p>
    <w:p w:rsidR="00933BAC" w:rsidRPr="00933BAC" w:rsidRDefault="00933BAC" w:rsidP="00933BAC"/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LAPORAN / INISIATIF KPPU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│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▼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PEMERIKSAAN AWAL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│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▼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PEMERIKSAAN LANJUTAN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│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▼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PEMBUKTIAN PELANGGARAN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│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▼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PUTUSAN KPPU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│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┌────┴────┐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▼         ▼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TIDAK ADA   TERBUKTI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PELANGGARAN PELANGGARAN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       │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       ▼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     SANKSI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       │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┌─────────┼─────────┐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▼         ▼         ▼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ADMINISTRATIF  DENDA   TINDAKAN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                KOREKTIF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       │</w:t>
      </w:r>
    </w:p>
    <w:p w:rsidR="00933BAC" w:rsidRDefault="00933BAC" w:rsidP="00933BAC">
      <w:pPr>
        <w:pStyle w:val="HTMLPreformatted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       ▼</w:t>
      </w:r>
    </w:p>
    <w:p w:rsidR="00933BAC" w:rsidRDefault="00933BAC" w:rsidP="00933BAC">
      <w:pPr>
        <w:pStyle w:val="HTMLPreformatted"/>
      </w:pPr>
      <w:r>
        <w:rPr>
          <w:rStyle w:val="HTMLCode"/>
          <w:rFonts w:eastAsiaTheme="majorEastAsia"/>
        </w:rPr>
        <w:t xml:space="preserve">          UPAYA HUKUM</w:t>
      </w:r>
    </w:p>
    <w:p w:rsidR="00933BAC" w:rsidRDefault="00933BAC"/>
    <w:p w:rsidR="00933BAC" w:rsidRDefault="00933BAC"/>
    <w:sectPr w:rsidR="00933BAC" w:rsidSect="00933BAC">
      <w:footerReference w:type="default" r:id="rId7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6D1" w:rsidRDefault="008376D1" w:rsidP="00ED2593">
      <w:pPr>
        <w:spacing w:after="0" w:line="240" w:lineRule="auto"/>
      </w:pPr>
      <w:r>
        <w:separator/>
      </w:r>
    </w:p>
  </w:endnote>
  <w:endnote w:type="continuationSeparator" w:id="0">
    <w:p w:rsidR="008376D1" w:rsidRDefault="008376D1" w:rsidP="00ED2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77336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2593" w:rsidRDefault="00ED25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D2593" w:rsidRDefault="00ED25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6D1" w:rsidRDefault="008376D1" w:rsidP="00ED2593">
      <w:pPr>
        <w:spacing w:after="0" w:line="240" w:lineRule="auto"/>
      </w:pPr>
      <w:r>
        <w:separator/>
      </w:r>
    </w:p>
  </w:footnote>
  <w:footnote w:type="continuationSeparator" w:id="0">
    <w:p w:rsidR="008376D1" w:rsidRDefault="008376D1" w:rsidP="00ED25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AC"/>
    <w:rsid w:val="008376D1"/>
    <w:rsid w:val="00933BAC"/>
    <w:rsid w:val="00C372A1"/>
    <w:rsid w:val="00ED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03944"/>
  <w15:chartTrackingRefBased/>
  <w15:docId w15:val="{929AD50A-6404-4F99-8ADF-A55E58D4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BAC"/>
  </w:style>
  <w:style w:type="paragraph" w:styleId="Heading1">
    <w:name w:val="heading 1"/>
    <w:basedOn w:val="Normal"/>
    <w:next w:val="Normal"/>
    <w:link w:val="Heading1Char"/>
    <w:uiPriority w:val="9"/>
    <w:qFormat/>
    <w:rsid w:val="00933BA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BA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3BA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B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B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B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BA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B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BA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33BA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933BA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3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3BAC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33BAC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33BAC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B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BA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BAC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BAC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BAC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BAC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BAC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3BAC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33BA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33BA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BA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BA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933BAC"/>
    <w:rPr>
      <w:i/>
      <w:iCs/>
    </w:rPr>
  </w:style>
  <w:style w:type="paragraph" w:styleId="NoSpacing">
    <w:name w:val="No Spacing"/>
    <w:uiPriority w:val="1"/>
    <w:qFormat/>
    <w:rsid w:val="00933BA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33BAC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33BAC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BA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BA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33BA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33BA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33BA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33BAC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33BA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3BA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D2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593"/>
  </w:style>
  <w:style w:type="paragraph" w:styleId="Footer">
    <w:name w:val="footer"/>
    <w:basedOn w:val="Normal"/>
    <w:link w:val="FooterChar"/>
    <w:uiPriority w:val="99"/>
    <w:unhideWhenUsed/>
    <w:rsid w:val="00ED2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8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4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5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9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9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27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2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81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49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875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2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7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6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2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414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142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537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9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06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48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50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2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29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53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3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53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33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3C9E5-25DE-4AFB-B678-EF794825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2026-09-13T16:14:00Z</dcterms:created>
  <dcterms:modified xsi:type="dcterms:W3CDTF">2026-09-13T16:26:00Z</dcterms:modified>
</cp:coreProperties>
</file>